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7" w:rsidRDefault="00EA3B97" w:rsidP="00983AE6">
      <w:pPr>
        <w:spacing w:after="160" w:line="235" w:lineRule="atLeast"/>
        <w:rPr>
          <w:rFonts w:ascii="Calibri" w:hAnsi="Calibri" w:cs="Calibri"/>
          <w:b/>
          <w:bCs/>
          <w:color w:val="313131"/>
          <w:sz w:val="22"/>
          <w:szCs w:val="22"/>
        </w:rPr>
      </w:pPr>
      <w:r>
        <w:rPr>
          <w:rFonts w:ascii="Calibri" w:hAnsi="Calibri" w:cs="Calibri"/>
          <w:b/>
          <w:bCs/>
          <w:color w:val="313131"/>
          <w:sz w:val="22"/>
          <w:szCs w:val="22"/>
        </w:rPr>
        <w:t>Articolo pubblicato su Il Sole 24 Ore, mercoledì 12 dicembre</w:t>
      </w:r>
      <w:bookmarkStart w:id="0" w:name="_GoBack"/>
      <w:bookmarkEnd w:id="0"/>
    </w:p>
    <w:p w:rsidR="00EA3B97" w:rsidRDefault="00EA3B97" w:rsidP="00983AE6">
      <w:pPr>
        <w:spacing w:after="160" w:line="235" w:lineRule="atLeast"/>
        <w:rPr>
          <w:rFonts w:ascii="Calibri" w:hAnsi="Calibri" w:cs="Calibri"/>
          <w:b/>
          <w:bCs/>
          <w:color w:val="313131"/>
          <w:sz w:val="22"/>
          <w:szCs w:val="22"/>
        </w:rPr>
      </w:pPr>
    </w:p>
    <w:p w:rsidR="00983AE6" w:rsidRDefault="00983AE6" w:rsidP="00983AE6">
      <w:pPr>
        <w:spacing w:after="160" w:line="235" w:lineRule="atLeast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b/>
          <w:bCs/>
          <w:color w:val="313131"/>
          <w:sz w:val="22"/>
          <w:szCs w:val="22"/>
        </w:rPr>
        <w:t>Serve un piano europeo per l’era del dopo carbone </w:t>
      </w:r>
    </w:p>
    <w:p w:rsidR="00983AE6" w:rsidRDefault="00983AE6" w:rsidP="00983AE6">
      <w:pPr>
        <w:spacing w:after="160" w:line="235" w:lineRule="atLeast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 xml:space="preserve">di </w:t>
      </w:r>
      <w:r>
        <w:rPr>
          <w:rFonts w:ascii="Calibri" w:hAnsi="Calibri" w:cs="Calibri"/>
          <w:color w:val="313131"/>
          <w:sz w:val="22"/>
          <w:szCs w:val="22"/>
        </w:rPr>
        <w:t>Simone Tagliapietra*</w:t>
      </w:r>
    </w:p>
    <w:p w:rsidR="00983AE6" w:rsidRDefault="00983AE6" w:rsidP="00983AE6">
      <w:pPr>
        <w:spacing w:after="160" w:line="235" w:lineRule="atLeast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</w:rPr>
        <w:t> 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L’annuale conferenza delle Nazioni Unite sui cambiamenti climatici si è aperta questa settimana a Katowice, città polacca che può ben essere definita come la capitale europea del carbone. Nei prossimi giorni i delegati giunti da più di 200 paesi per discutere le regole di funzionamento dell’Accordo di Parigi sperimenteranno in prima persona l’inquinamento dovuto all’estrazione e all’uso del carbone. La speranza è che anche quest’esperienza possa contribuire a rafforzare il senso di urgenza nell’avanzare quel processo di trasformazione dei sistemi energetici necessario per combattere i cambiamenti climatici.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Un senso di urgenza che, ad oggi, continua a non esserci. I dati parlano chiaro: nel 2017 le emissioni globali di CO2 dovute al settore energetico hanno raggiunto un livello mai visto prima, e stando ai primi dati disponibili esse cresceranno ulteriormente nel 2018. Ciò significa che il mondo è, attualmente, ben lontano dal rispettare la traiettoria concordata a Parigi per far fronte ai cambiamenti climatici.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Il carbone è il primo responsabile di questa situazione, contribuendo per un quarto delle emissioni globali di CO2 legate all'energia. Nel mondo, i primi tre consumatori di carbone sono la Cina (50%), l’India (11%) e - sorpresa - l’Europa (6%). Già, nonostante le sue forti politiche climatiche e il suo forte sostegno alle rinnovabili, l’Europa non ha ancora disattivato la parte più inquinante del proprio sistema energetico.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Il carbone continua a svolgere un ruolo importante nella generazione elettrica di diversi paesi europei: 80% del mix elettrico in Polonia e circa 40% in Repubblica ceca, Bulgaria, Grecia e - altra sorpresa -Germania. Ad oggi, solo alcuni paesi europei - Italia, Francia, Olanda e Regno Unito - hanno preso l’impegno di eliminare il carbone dal loro sistema energetico entro i prossimi 10 anni. Questo persistente ruolo del carbone nel sistema energetico europeo è disastroso non solo per il clima, ma anche per l'ambiente e per la salute umana.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 xml:space="preserve">Dal punto di vista climatico, il carbone è semplicemente il modo peggiore per generare elettricità. Giusto per fare un esempio, una centrale elettrica a carbone emette il 40% in più di CO2 rispetto ad una centrale a gas naturale. Non deve dunque sorprendere il fatto che il carbone, contribuendo al 25% della produzione elettrica europea, sia responsabile per il 75% delle emissioni di CO2 dell’intero settore. In altre parole, eliminare il carbone dal sistema energetico europeo è fondamentale non solo per </w:t>
      </w:r>
      <w:proofErr w:type="spellStart"/>
      <w:r>
        <w:rPr>
          <w:rFonts w:ascii="Calibri" w:hAnsi="Calibri" w:cs="Calibri"/>
          <w:color w:val="313131"/>
          <w:sz w:val="22"/>
          <w:szCs w:val="22"/>
        </w:rPr>
        <w:t>decarbonizzare</w:t>
      </w:r>
      <w:proofErr w:type="spellEnd"/>
      <w:r>
        <w:rPr>
          <w:rFonts w:ascii="Calibri" w:hAnsi="Calibri" w:cs="Calibri"/>
          <w:color w:val="313131"/>
          <w:sz w:val="22"/>
          <w:szCs w:val="22"/>
        </w:rPr>
        <w:t xml:space="preserve"> l’elettricità, ma anche rendere verdi altri settori, come quello dei trasporti.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Il carbone è anche dannoso per l'ambiente e la salute umana. In Europa, le centrali elettriche a carbone sono tra i principali responsabili delle emissioni di anidride solforosa, ossidi di azoto e particolato rilasciati nell'aria. Questi inquinanti possono entrare nel corpo umano e causare diversi problemi di salute, dal cancro ai polmoni agli attacchi di cuore.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Nonostante tutto ciò, come abbiamo visto in Europa il carbone continua ad essere usato - con giustificazioni che vanno dalla sicurezza energetica alla salvaguardia dei posti di lavoro nell’industria carbonifera.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>Quella della sicurezza energetica può anche essere una valida preoccupazione. Un paese fortemente dipendente dal carbone non può passare da un giorno all'altro alle rinnovabili. Tuttavia, tale transizione è fattibile. Diversi sono i paesi che già hanno eliminato con successo il carbone senza compromettere la sicurezza e la competitività energetica. È tutta una questione di buone politiche e buoni investimenti.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 xml:space="preserve">Altrettanto valida è la preoccupazione per la perdita dei posti di lavoro, ma anche qui un cambiamento solidale è possibile. Un attento studio dei dati </w:t>
      </w:r>
      <w:proofErr w:type="spellStart"/>
      <w:r>
        <w:rPr>
          <w:rFonts w:ascii="Calibri" w:hAnsi="Calibri" w:cs="Calibri"/>
          <w:color w:val="313131"/>
          <w:sz w:val="22"/>
          <w:szCs w:val="22"/>
        </w:rPr>
        <w:t>e’</w:t>
      </w:r>
      <w:proofErr w:type="spellEnd"/>
      <w:r>
        <w:rPr>
          <w:rFonts w:ascii="Calibri" w:hAnsi="Calibri" w:cs="Calibri"/>
          <w:color w:val="313131"/>
          <w:sz w:val="22"/>
          <w:szCs w:val="22"/>
        </w:rPr>
        <w:t xml:space="preserve">, in questo senso, rivelatore. Il paese europeo con il maggior numero di posti di lavoro nel settore del carbone è la Polonia, con 100.000 occupati: un numero </w:t>
      </w:r>
      <w:r>
        <w:rPr>
          <w:rFonts w:ascii="Calibri" w:hAnsi="Calibri" w:cs="Calibri"/>
          <w:color w:val="313131"/>
          <w:sz w:val="22"/>
          <w:szCs w:val="22"/>
        </w:rPr>
        <w:lastRenderedPageBreak/>
        <w:t>che rappresenta lo 0,7% degli occupati nel paese. In tutti gli altri paesi l'occupazione nel settore è inferiore alle 30.000 persone, ovvero sempre al di sotto dello 0,6% del totale. Questo per dire che il problema esiste, ma è molto circoscritto. Finanziamenti pubblici ben disegnati possono garantire una transizione socialmente giusta che non lasci indietro nessuno, garantendo ai minatori più anziani un’uscita anticipata dal lavoro e a quelli più giovani di acquisire delle nuove competenze per re-inserirsi in nuovi settori lavorativi. 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  <w:sz w:val="22"/>
          <w:szCs w:val="22"/>
        </w:rPr>
        <w:t xml:space="preserve">Tale meccanismo di sostegno potrebbe essere creato dalla stessa Unione Europea. Considerando il numero di lavoratori attualmente occupati nell’industria carbonifera europea, è possibile stimare il fabbisogno finanziario in 150 milioni all’anno per dieci anni, ovvero lo 0.1% del bilancio annuo dell’Unione. Con un limitato impiego delle proprie finanze, l’Unione potrebbe, dunque, stimolare la rimozione di una delle barriere più importanti nel processo europeo di </w:t>
      </w:r>
      <w:proofErr w:type="spellStart"/>
      <w:r>
        <w:rPr>
          <w:rFonts w:ascii="Calibri" w:hAnsi="Calibri" w:cs="Calibri"/>
          <w:color w:val="313131"/>
          <w:sz w:val="22"/>
          <w:szCs w:val="22"/>
        </w:rPr>
        <w:t>decarbonizzazione</w:t>
      </w:r>
      <w:proofErr w:type="spellEnd"/>
      <w:r>
        <w:rPr>
          <w:rFonts w:ascii="Calibri" w:hAnsi="Calibri" w:cs="Calibri"/>
          <w:color w:val="313131"/>
          <w:sz w:val="22"/>
          <w:szCs w:val="22"/>
        </w:rPr>
        <w:t>, contribuendo altresì al miglioramento dell’ambiente e della salute dei cittadini europei, e offrendo un esempio che potrebbe poi essere seguito da altri paesi nel mondo. Questo rappresenterebbe senza dubbio un contributo tangibile e importante all'attuazione dell'Accordo di Parigi.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color w:val="313131"/>
        </w:rPr>
        <w:t> </w:t>
      </w:r>
    </w:p>
    <w:p w:rsidR="00983AE6" w:rsidRDefault="00983AE6" w:rsidP="00983AE6">
      <w:pPr>
        <w:spacing w:after="160" w:line="235" w:lineRule="atLeast"/>
        <w:jc w:val="both"/>
        <w:rPr>
          <w:rFonts w:ascii="Calibri" w:hAnsi="Calibri" w:cs="Calibri"/>
          <w:color w:val="313131"/>
          <w:sz w:val="22"/>
          <w:szCs w:val="22"/>
        </w:rPr>
      </w:pPr>
      <w:r>
        <w:rPr>
          <w:rFonts w:ascii="Calibri" w:hAnsi="Calibri" w:cs="Calibri"/>
          <w:i/>
          <w:iCs/>
          <w:color w:val="313131"/>
          <w:sz w:val="22"/>
          <w:szCs w:val="22"/>
        </w:rPr>
        <w:t xml:space="preserve">* Professore presso la Johns Hopkins </w:t>
      </w:r>
      <w:proofErr w:type="spellStart"/>
      <w:r>
        <w:rPr>
          <w:rFonts w:ascii="Calibri" w:hAnsi="Calibri" w:cs="Calibri"/>
          <w:i/>
          <w:iCs/>
          <w:color w:val="313131"/>
          <w:sz w:val="22"/>
          <w:szCs w:val="22"/>
        </w:rPr>
        <w:t>University</w:t>
      </w:r>
      <w:proofErr w:type="spellEnd"/>
      <w:r>
        <w:rPr>
          <w:rFonts w:ascii="Calibri" w:hAnsi="Calibri" w:cs="Calibri"/>
          <w:i/>
          <w:iCs/>
          <w:color w:val="313131"/>
          <w:sz w:val="22"/>
          <w:szCs w:val="22"/>
        </w:rPr>
        <w:t xml:space="preserve"> SAIS Europe e ricercatore presso </w:t>
      </w:r>
      <w:proofErr w:type="spellStart"/>
      <w:r>
        <w:rPr>
          <w:rFonts w:ascii="Calibri" w:hAnsi="Calibri" w:cs="Calibri"/>
          <w:i/>
          <w:iCs/>
          <w:color w:val="313131"/>
          <w:sz w:val="22"/>
          <w:szCs w:val="22"/>
        </w:rPr>
        <w:t>Bruegel</w:t>
      </w:r>
      <w:proofErr w:type="spellEnd"/>
      <w:r>
        <w:rPr>
          <w:rFonts w:ascii="Calibri" w:hAnsi="Calibri" w:cs="Calibri"/>
          <w:i/>
          <w:iCs/>
          <w:color w:val="313131"/>
          <w:sz w:val="22"/>
          <w:szCs w:val="22"/>
        </w:rPr>
        <w:t xml:space="preserve"> e Fondazione Eni Enrico Mattei.</w:t>
      </w:r>
    </w:p>
    <w:p w:rsidR="003933CB" w:rsidRDefault="003933CB"/>
    <w:sectPr w:rsidR="00393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E6"/>
    <w:rsid w:val="003933CB"/>
    <w:rsid w:val="00983AE6"/>
    <w:rsid w:val="00E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A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A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Eni Enrico Mattei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Racah</dc:creator>
  <cp:lastModifiedBy>Barbara Racah</cp:lastModifiedBy>
  <cp:revision>1</cp:revision>
  <dcterms:created xsi:type="dcterms:W3CDTF">2018-12-14T11:20:00Z</dcterms:created>
  <dcterms:modified xsi:type="dcterms:W3CDTF">2018-12-14T11:41:00Z</dcterms:modified>
</cp:coreProperties>
</file>